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Default="00101FF9"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Aragon </w:t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Cobo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M. (1997). ‘Observer la bande dessinée’.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>. 292. 34-36.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Aupècle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, M. et Alvarez, G. (1977).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Français instrumental et français fonctionnel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>. Montréal : AUPELF, 161 p</w:t>
      </w:r>
      <w:proofErr w:type="gram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Beacco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J.-C. et </w:t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Darot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M. (1984).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Analyses de discours. Lecture et expression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>. Paris : Hachette /Larousse, 176 p</w:t>
      </w:r>
      <w:proofErr w:type="gram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Bertin C. (1988). ‘Le rôle des stratégies de lecture dans la compréhension des textes’.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Canadian Modern </w:t>
      </w:r>
      <w:proofErr w:type="spellStart"/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Language</w:t>
      </w:r>
      <w:proofErr w:type="spellEnd"/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proofErr w:type="spellStart"/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Review</w:t>
      </w:r>
      <w:proofErr w:type="spellEnd"/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/ Revue canadienne des langues vivantes.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33 : 3, 523-535.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Bertocchini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P. et </w:t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Costanzo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E. (1984). ‘Je t’aime… moi non plus’.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Français dans le Monde.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182, 83-85.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Bisaillon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J. (1991). ‘Le plaisir d’écrire en langue seconde par un enseignement axé sur la révision’.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Revue québécoise de linguistique.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21 : 1, 57-75.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Bloch A. et </w:t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Tomaszkiewicz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T. (1984). ‘Stratégies pour une pédagogie de l’</w:t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argumentatin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en </w:t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f.l.e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.’.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182, 31-39.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Bottella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Chaves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H. (1997). ‘Du bon usage de la créativité en classe’.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289, 34-37.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Bourdet J.-F (1995). ‘Évaluer les apprentissages’.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275, 47-52.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Calvet, L.-J. (1972). ‘Les problèmes de la compréhension écrite et de l'expression’ dans </w:t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Nataf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, R. (</w:t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dir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.).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niveau 2 dans l'enseignement du français langue étrangère.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Paris : Hachette, Coll. F., 145-156.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Carrell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P. (1990). ‘Culture et contexte dans la langue étrangère: rôle des schémas de contenu et des schémas formels’. Dans </w:t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Gaonac'h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D. (éd.).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Acquisition et utilisation d'une langue étrangère: approche cognitive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. Paris : Hachette,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 : recherches et applications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>.16-29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Carton M. (1998). ‘Lettres d’amour en classe de français’.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294, fiche pratique V-VI.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Cicurel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F. (1991). ‘Compréhension des textes: une démarche interactive’.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>. 243, 40-44.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Cicurel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F. et </w:t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Moirand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S. (1990). ‘Apprendre à comprendre l'écrit’. </w:t>
      </w:r>
      <w:proofErr w:type="gram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dans</w:t>
      </w:r>
      <w:proofErr w:type="gram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Gaonac'h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D. (éd.).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Acquisition et utilisation d'une langue étrangère: approche cognitive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>, Paris Hachette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, Le Français dans le Monde : recherches et applications.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147-158</w:t>
      </w:r>
      <w:proofErr w:type="gram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Cornaire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C. (1991).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La lecture en didactique des langues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>. Montréal: Centre éducatif et culturel, Coll. Le point sur…127 p</w:t>
      </w:r>
      <w:proofErr w:type="gram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Cornaire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C. et </w:t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Tréville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M.-C. (1992). ‘L’évaluation de la compréhension en français langue seconde en milieu universitaire aux niveaux élémentaire et intermédiaire’. Dans </w:t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Courchêne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R.J., Glidden J.I., St John J., Thérien C. (</w:t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eds</w:t>
      </w:r>
      <w:proofErr w:type="spellEnd"/>
      <w:proofErr w:type="gram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./</w:t>
      </w:r>
      <w:proofErr w:type="spellStart"/>
      <w:proofErr w:type="gram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réd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.) (1992) </w:t>
      </w:r>
      <w:proofErr w:type="spellStart"/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Comprehension-based</w:t>
      </w:r>
      <w:proofErr w:type="spellEnd"/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 Second </w:t>
      </w:r>
      <w:proofErr w:type="spellStart"/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Language</w:t>
      </w:r>
      <w:proofErr w:type="spellEnd"/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proofErr w:type="spellStart"/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Teaching</w:t>
      </w:r>
      <w:proofErr w:type="spellEnd"/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/ L’enseignement des langues secondes axé sur la </w:t>
      </w:r>
      <w:proofErr w:type="spellStart"/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comprehension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, Ottawa : </w:t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University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of Ottawa </w:t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Press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/ Presses de l’Université d’Ottawa, 319-337.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Davoine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J.-P. (1981) ‘Au pair’.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68-75</w:t>
      </w:r>
      <w:proofErr w:type="gram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Develotte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C. (1990). ‘Lire : un contrat de confiance’.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35, 50-54.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Espinoza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-Vera M. (1994). ‘Production radiophonique’.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>. 265, fiche pratique III-IV.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Gaonac'h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D. (1993). ‘Les composantes cognitives de la lecture’.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>. 255, 87-86.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Gaonac'h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D. (1990). ‘Les stratégies </w:t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attentionelles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dans l'utilisation d'une langue étrangère’. dans </w:t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Gaonac'h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D. (éd.).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Acquisition et utilisation d'une langue étrangère: approche cognitive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. Paris : Hachette,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Monde: recherches et applications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>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Gaonac'h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D 1990). ‘Lire dans une langue étrangère: approche cognitive",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Revue française de pédagogie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>. 93, 75-100.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Grassioulet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T. (1993) ‘L’enseignement de la composition à un niveau intermédiaire’.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RELIEF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>. 2, 18-25.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Goldenstein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J.-P. (1985). ‘De la mise en récit à la mise en fable’.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>. 197, 85-87.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  <w:t>Lehmann, D. (</w:t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dir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.) (1980).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Lecture fonctionnelle des textes de spécialité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. Paris : </w:t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Crédif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-Hatier, 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lastRenderedPageBreak/>
        <w:t>203p.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  <w:t>Lehmann, D. (</w:t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dir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.) (1976).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Lire en français les sciences économiques et sociales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’. Paris : </w:t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Crédif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-Hatier.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Lemonier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F.H. (1992). ‘Un cours de rédaction destiné à de jeunes adultes non francophones selon une approche axée sur la compréhension’. Dans </w:t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Courchêne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R.J., Glidden J.I., St John J., Thérien C. (</w:t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eds</w:t>
      </w:r>
      <w:proofErr w:type="spellEnd"/>
      <w:proofErr w:type="gram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./</w:t>
      </w:r>
      <w:proofErr w:type="spellStart"/>
      <w:proofErr w:type="gram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réd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.) (1992) </w:t>
      </w:r>
      <w:proofErr w:type="spellStart"/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Comprehension-based</w:t>
      </w:r>
      <w:proofErr w:type="spellEnd"/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 Second </w:t>
      </w:r>
      <w:proofErr w:type="spellStart"/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Language</w:t>
      </w:r>
      <w:proofErr w:type="spellEnd"/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proofErr w:type="spellStart"/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Teaching</w:t>
      </w:r>
      <w:proofErr w:type="spellEnd"/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/ L’enseignement des langues secondes axé sur la </w:t>
      </w:r>
      <w:proofErr w:type="spellStart"/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comprehension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, Ottawa : </w:t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University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of Ottawa </w:t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Press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/ Presses de l’Université d’Ottawa, 215-228.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  <w:t>Martins-</w:t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Baltar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, M. et al. </w:t>
      </w:r>
      <w:proofErr w:type="gram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( 1979</w:t>
      </w:r>
      <w:proofErr w:type="gram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)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L'écrit et les écrits. Problèmes d'analyse et </w:t>
      </w:r>
      <w:proofErr w:type="spellStart"/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onsidérations</w:t>
      </w:r>
      <w:proofErr w:type="spellEnd"/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 didactiques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. Paris : </w:t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Crédif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-Hatier, 117 p</w:t>
      </w:r>
      <w:proofErr w:type="gram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Moirand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S. (1990).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Grammaire des textes et des dialogues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>. Paris : Hachette, Coll. F. Autoformation, 159 p</w:t>
      </w:r>
      <w:proofErr w:type="gram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Moirand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, S. (1979).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Situation d'écrit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>. Paris : CLE International., 175 p</w:t>
      </w:r>
      <w:proofErr w:type="gram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Moirand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, S. (1977). ‘Communication écrite et apprentissage initial’.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>. 133, 7 p</w:t>
      </w:r>
      <w:proofErr w:type="gram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Palucci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R. (1994). ‘Entraîner à la compréhension’.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>. 266, 51-54.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Richaudeau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, F. (1973).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langage efficace- Communiquer, Persuader,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-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Réussir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>, Paris: Marabout, 300p.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Richaudeau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, F. (1969).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La lisibilité-Langages. Typographie signes...Lecture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>. Paris : Denoël, 302 p</w:t>
      </w:r>
      <w:proofErr w:type="gram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Rocherieux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G. (1984). ‘</w:t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Romans-photos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à faire ou à défaire’.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54.184, 92-96.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Rosienski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-Pellerin S. (1995). ‘L’écrit publicitaire : pour une introduction à l’argumentation écrite’. Dans </w:t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Cotnam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J. et Paterson J. (</w:t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dir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.).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La didactique à l’œuvre. Perspectives théoriques et pratiques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. Toronto : Canadian </w:t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Scholars’Press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. 56-69</w:t>
      </w:r>
      <w:proofErr w:type="gram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  <w:t>Salins G.-D. de (1984</w:t>
      </w:r>
      <w:proofErr w:type="gram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) .</w:t>
      </w:r>
      <w:proofErr w:type="gram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‘De l’exercice de lecture à l’argumentation’.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182, 77-82.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Sprenger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-Charolles L. (1989). ‘L'apprentissage de la lecture et ses difficultés: approche psycholinguistique’.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Revue française de pédagogie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>. 87, 77-106.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Thiriet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A. (1981). ‘Les bals’.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>. 160, 45 et 79-87.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Vigner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G. (1982).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Ecrire, éléments pour une pédagogie de la production écrite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>. Paris : CLE International, 128 p</w:t>
      </w:r>
      <w:proofErr w:type="gram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Vigner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G. (1979).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Lire: du texte au sens, éléments pour un apprentissage et un enseignement de la lecture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>. Paris : CLE International, 173 p</w:t>
      </w:r>
      <w:proofErr w:type="gram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01FF9">
        <w:rPr>
          <w:rFonts w:ascii="Arial" w:hAnsi="Arial" w:cs="Arial"/>
          <w:color w:val="000000"/>
          <w:sz w:val="20"/>
          <w:szCs w:val="20"/>
          <w:lang w:val="fr-FR"/>
        </w:rPr>
        <w:t>Wlassoff-Delahousse</w:t>
      </w:r>
      <w:proofErr w:type="spellEnd"/>
      <w:r w:rsidRPr="00101FF9">
        <w:rPr>
          <w:rFonts w:ascii="Arial" w:hAnsi="Arial" w:cs="Arial"/>
          <w:color w:val="000000"/>
          <w:sz w:val="20"/>
          <w:szCs w:val="20"/>
          <w:lang w:val="fr-FR"/>
        </w:rPr>
        <w:t xml:space="preserve"> (1997). ‘Approche globale et typologie des textes’. </w:t>
      </w:r>
      <w:r w:rsidRPr="00101FF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101FF9">
        <w:rPr>
          <w:rFonts w:ascii="Arial" w:hAnsi="Arial" w:cs="Arial"/>
          <w:color w:val="000000"/>
          <w:sz w:val="20"/>
          <w:szCs w:val="20"/>
          <w:lang w:val="fr-FR"/>
        </w:rPr>
        <w:t>. 291, 60-65.</w:t>
      </w:r>
      <w:bookmarkStart w:id="0" w:name="_GoBack"/>
      <w:bookmarkEnd w:id="0"/>
    </w:p>
    <w:sectPr w:rsidR="00ED34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FF9"/>
    <w:rsid w:val="00101FF9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101FF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101F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913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2011-07-06T15:43:00Z</dcterms:created>
  <dcterms:modified xsi:type="dcterms:W3CDTF">2011-07-06T15:44:00Z</dcterms:modified>
</cp:coreProperties>
</file>